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sz w:val="24"/>
        </w:rPr>
        <w:t>COMUNICATO STAMPA</w:t>
      </w:r>
    </w:p>
    <w:p>
      <w:pPr>
        <w:jc w:val="center"/>
      </w:pPr>
      <w:r>
        <w:rPr>
          <w:b/>
          <w:i w:val="0"/>
          <w:sz w:val="28"/>
        </w:rPr>
        <w:t>Urbanistica, Visioneroma: «Roma ha cambiato le regole. Ora misuriamo i risultati»</w:t>
      </w:r>
    </w:p>
    <w:p>
      <w:pPr>
        <w:jc w:val="center"/>
      </w:pPr>
      <w:r>
        <w:rPr>
          <w:b w:val="0"/>
          <w:i/>
          <w:sz w:val="19"/>
        </w:rPr>
        <w:t>Dopo l’approvazione delle nuove NTA del Piano Regolatore, Visioneroma propone un sistema pubblico di monitoraggio dell’applicazione delle nuove norme, senza nuovi adempimenti per gli uffici.</w:t>
      </w:r>
    </w:p>
    <w:p>
      <w:pPr>
        <w:jc w:val="both"/>
      </w:pPr>
      <w:r>
        <w:rPr>
          <w:b w:val="0"/>
          <w:i w:val="0"/>
        </w:rPr>
        <w:t>Roma ha compiuto un passo importante con l’approvazione delle nuove Norme Tecniche di Attuazione del Piano Regolatore. Il giudizio di Visioneroma è complessivamente positivo: le nuove regole possono favorire la rigenerazione urbana, le trasformazioni e il recupero del patrimonio edilizio esistente.</w:t>
      </w:r>
    </w:p>
    <w:p>
      <w:pPr>
        <w:jc w:val="both"/>
      </w:pPr>
      <w:r>
        <w:rPr>
          <w:b w:val="0"/>
          <w:i w:val="0"/>
        </w:rPr>
        <w:t>Il punto, ora, è verificare come le nuove norme funzioneranno concretamente. Una buona disciplina urbanistica produce infatti pienamente i propri effetti soltanto se l’Amministrazione riesce ad applicarla con criteri uniformi e in tempi ragionevoli.</w:t>
      </w:r>
    </w:p>
    <w:p>
      <w:pPr>
        <w:jc w:val="both"/>
      </w:pPr>
      <w:r>
        <w:rPr>
          <w:b w:val="0"/>
          <w:i w:val="0"/>
        </w:rPr>
        <w:t>Lo studio realizzato da Visioneroma richiama, tra gli altri, un dato che merita attenzione: i permessi di costruire con esito positivo sono stati 199 nel 2023, 151 nel 2024 e 128 nel 2025, circa il 36% in meno in due anni. Sarebbe tuttavia sbagliato ricavarne automaticamente un giudizio sull’efficienza degli uffici: per comprenderne il significato occorre conoscere anche il numero e la complessità delle domande presentate, le pratiche pendenti e i tempi effettivi dei procedimenti.</w:t>
      </w:r>
    </w:p>
    <w:p>
      <w:pPr>
        <w:jc w:val="both"/>
      </w:pPr>
      <w:r>
        <w:rPr>
          <w:b w:val="0"/>
          <w:i w:val="0"/>
        </w:rPr>
        <w:t>Da qui la proposta di accompagnare l’applicazione delle nuove NTA con pochi indicatori pubblici e stabili: pratiche presentate, concluse e pendenti, anzianità dell’arretrato, tempi effettivi, richieste di integrazione, sospensioni e durata dei pareri esterni. I dati del triennio 2024-2026 potrebbero costituire una base di riferimento per verificare negli anni successivi gli effetti concreti della riforma.</w:t>
      </w:r>
    </w:p>
    <w:p>
      <w:pPr>
        <w:jc w:val="both"/>
      </w:pPr>
      <w:r>
        <w:rPr>
          <w:b w:val="0"/>
          <w:i w:val="0"/>
        </w:rPr>
        <w:t>Il monitoraggio non deve però trasformarsi in nuova burocrazia. Gli indicatori dovrebbero essere ricavati, per quanto possibile, automaticamente dai sistemi informatici già utilizzati dall’Amministrazione, senza introdurre nuove schede o ulteriori adempimenti a carico di tecnici e funzionari.</w:t>
      </w:r>
    </w:p>
    <w:p>
      <w:pPr>
        <w:jc w:val="both"/>
      </w:pPr>
      <w:r>
        <w:rPr>
          <w:b w:val="0"/>
          <w:i w:val="0"/>
        </w:rPr>
        <w:t>Visioneroma richiama inoltre l’esigenza di rendere facilmente conoscibili circolari, direttive e principali orientamenti applicativi, così da favorire un’interpretazione uniforme delle nuove norme e una maggiore certezza per cittadini, professionisti e operatori.</w:t>
      </w:r>
    </w:p>
    <w:p>
      <w:pPr>
        <w:jc w:val="both"/>
      </w:pPr>
      <w:r>
        <w:rPr>
          <w:b w:val="0"/>
          <w:i w:val="0"/>
        </w:rPr>
        <w:t>Le osservazioni e le proposte elaborate dall’associazione sono state sottoposte alla Presidenza della Commissione Urbanistica dell’Assemblea Capitolina, alla quale è stata rimessa la valutazione sull’opportunità e sulle modalità di darvi seguito nell’ambito dell’attività della Commissione.</w:t>
      </w:r>
    </w:p>
    <w:p>
      <w:pPr>
        <w:jc w:val="both"/>
      </w:pPr>
      <w:r>
        <w:rPr>
          <w:b w:val="0"/>
          <w:i w:val="0"/>
        </w:rPr>
        <w:t>Roma ha cambiato le proprie regole urbanistiche. Ora deve fare il passo successivo: misurarne pubblicamente l’applicazione. Non serve altra burocrazia: serve utilizzare meglio i dati che l’Amministrazione già produce.</w:t>
      </w:r>
    </w:p>
    <w:p>
      <w:pPr>
        <w:spacing w:before="160"/>
        <w:jc w:val="right"/>
      </w:pPr>
      <w:r>
        <w:rPr>
          <w:b/>
          <w:i w:val="0"/>
        </w:rPr>
        <w:t>Comunicazione Visioneroma</w:t>
      </w:r>
    </w:p>
    <w:sectPr w:rsidR="00FC693F" w:rsidRPr="0006063C" w:rsidSect="00034616"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