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980000" cy="1978308"/>
            <wp:docPr id="1" name="Picture 1"/>
            <wp:cNvGraphicFramePr>
              <a:graphicFrameLocks noChangeAspect="1"/>
            </wp:cNvGraphicFramePr>
            <a:graphic>
              <a:graphicData uri="http://schemas.openxmlformats.org/drawingml/2006/picture">
                <pic:pic>
                  <pic:nvPicPr>
                    <pic:cNvPr id="0" name="2b74c813-80c8-5575-bae4-f39bee568867.jpg"/>
                    <pic:cNvPicPr/>
                  </pic:nvPicPr>
                  <pic:blipFill>
                    <a:blip r:embed="rId9"/>
                    <a:stretch>
                      <a:fillRect/>
                    </a:stretch>
                  </pic:blipFill>
                  <pic:spPr>
                    <a:xfrm>
                      <a:off x="0" y="0"/>
                      <a:ext cx="1980000" cy="1978308"/>
                    </a:xfrm>
                    <a:prstGeom prst="rect"/>
                  </pic:spPr>
                </pic:pic>
              </a:graphicData>
            </a:graphic>
          </wp:inline>
        </w:drawing>
      </w:r>
    </w:p>
    <w:p>
      <w:pPr>
        <w:pStyle w:val="Title"/>
        <w:jc w:val="center"/>
      </w:pPr>
      <w:r>
        <w:rPr>
          <w:b/>
        </w:rPr>
        <w:t>STUDIO DELLA TEORIA DEL WRITER VANDALO</w:t>
      </w:r>
    </w:p>
    <w:p>
      <w:pPr>
        <w:jc w:val="center"/>
      </w:pPr>
      <w:r>
        <w:rPr>
          <w:b/>
          <w:color w:val="7D141C"/>
          <w:sz w:val="24"/>
        </w:rPr>
        <w:t>A cura di Visioneroma</w:t>
      </w:r>
    </w:p>
    <w:p>
      <w:pPr>
        <w:jc w:val="center"/>
      </w:pPr>
      <w:r>
        <w:rPr>
          <w:i/>
          <w:color w:val="5A5A5A"/>
          <w:sz w:val="21"/>
        </w:rPr>
        <w:t>Documento per la tavola rotonda “Roma non è una lavagna”</w:t>
      </w:r>
    </w:p>
    <w:p>
      <w:pPr>
        <w:jc w:val="center"/>
      </w:pPr>
      <w:r>
        <w:rPr>
          <w:color w:val="B4B4B4"/>
        </w:rPr>
        <w:t>——————————————————</w:t>
      </w:r>
    </w:p>
    <w:p>
      <w:pPr>
        <w:pStyle w:val="Heading1"/>
      </w:pPr>
      <w:r>
        <w:t>Premessa</w:t>
      </w:r>
    </w:p>
    <w:p>
      <w:r>
        <w:t>Il fenomeno delle scritte vandaliche non può essere interpretato soltanto come espressione di disordine casuale o di semplice bruttezza. Una parte della cultura del writing attribuisce infatti un valore specifico alla trasgressione, all’occupazione non autorizzata dello spazio urbano, alla ripetizione del proprio segno e, in alcuni casi, perfino al rifiuto deliberato della bellezza e del decoro. Non esiste una teoria unitaria del vandalismo, ma esiste un retroterra culturale e teorico che aiuta a comprendere perché, per alcuni writer, l’illegalità non sia un incidente, bensì parte integrante del gesto.</w:t>
      </w:r>
    </w:p>
    <w:p>
      <w:pPr>
        <w:pStyle w:val="Heading1"/>
      </w:pPr>
      <w:r>
        <w:t>L’illegalità come parte del significato</w:t>
      </w:r>
    </w:p>
    <w:p>
      <w:r>
        <w:t>Tra i riferimenti teorici più importanti vi è Jean Baudrillard, che ha letto i graffiti metropolitani come una “insurrezione dei segni”: la tag anonima e ripetuta interrompe l’ordine visivo della città e si sottrae ai linguaggi ufficiali della pubblicità, delle istituzioni e del consumo. In questa prospettiva, l’occupazione non autorizzata dello spazio costituisce una parte del significato dell’atto.</w:t>
      </w:r>
    </w:p>
    <w:p>
      <w:r>
        <w:t>Anche Jeff Ferrell, nel volume Crimes of Style, ha studiato il writing illegale come forma di conflitto sul controllo dello spazio urbano. Nella sua analisi, la violazione della regola non è sempre un elemento esterno al fenomeno: per una parte della sottocultura del writing, rischio, illegalità e visibilità concorrono a dare valore all’azione.</w:t>
      </w:r>
    </w:p>
    <w:p>
      <w:r>
        <w:t>Mark Halsey e Alison Young hanno mostrato come molti writer percepiscano muri e superfici urbane come spazi disponibili all’intervento, indipendentemente dal titolo di proprietà o dall’autorizzazione. Il conflitto riguarda quindi anche chi abbia il diritto di “scrivere” simbolicamente la città.</w:t>
      </w:r>
    </w:p>
    <w:p>
      <w:pPr>
        <w:pStyle w:val="Heading1"/>
      </w:pPr>
      <w:r>
        <w:t>Bombing, anti-style e “estetica del degrado”</w:t>
      </w:r>
    </w:p>
    <w:p>
      <w:r>
        <w:t>Theo Kindynis ha studiato il cosiddetto bombing, ossia la moltiplicazione rapida di tag e pezzi illegali nello spazio urbano. In questa logica possono contare più la presenza capillare, la quantità e la conquista visiva del territorio che non la qualità estetica dell’opera.</w:t>
      </w:r>
    </w:p>
    <w:p>
      <w:r>
        <w:t>Ancora più vicino all’idea di un writer che rivendichi il degrado è il filone definito anti-style, ugly graffiti o ignorant style. Queste correnti rifiutano deliberatamente l’idea che il graffito debba essere bello, armonico o decorativo. Bruttezza, irregolarità, disordine e ambiente degradato possono diventare elementi intenzionali del linguaggio. Alcuni studi recenti parlano perfino di una vera e propria “estetica del degrado”.</w:t>
      </w:r>
    </w:p>
    <w:p>
      <w:pPr>
        <w:pStyle w:val="Heading1"/>
      </w:pPr>
      <w:r>
        <w:t>La giustificazione politica</w:t>
      </w:r>
    </w:p>
    <w:p>
      <w:r>
        <w:t>Andrea Baldini ha proposto di leggere una parte del graffiti writing come creative activism. Secondo questa tesi, imprese, pubblicità e poteri pubblici godrebbero di un accesso privilegiato alle superfici visibili della città; il writer, appropriandosene senza permesso, contesterebbe questo monopolio della comunicazione urbana. L’illegalità può dunque essere presentata non soltanto come trasgressione individuale, ma anche come gesto politico.</w:t>
      </w:r>
    </w:p>
    <w:p>
      <w:r>
        <w:t>Tale impostazione resta però discutibile sul piano della convivenza urbana: il riconoscimento della libertà espressiva non elimina il problema dei diritti degli altri cittadini, dei proprietari, della tutela dei beni comuni e della protezione del patrimonio storico.</w:t>
      </w:r>
    </w:p>
    <w:p>
      <w:pPr>
        <w:pStyle w:val="Heading1"/>
      </w:pPr>
      <w:r>
        <w:t>Il contesto italiano e romano</w:t>
      </w:r>
    </w:p>
    <w:p>
      <w:r>
        <w:t>In Italia, Vanni Santoni ha affrontato dall’interno la cultura del writing illegale e il suo rapporto con lo spazio pubblico, la trasgressione e la riduzione degli spazi di espressione non autorizzata. Alessandro Mininno, con Graffiti Writing in Italy 1989-2021, ricostruisce invece la storia italiana della cultura delle tag, dei treni, delle metropolitane e delle crew, mostrando la compresenza di illegalità, rischio, stile e appartenenza.</w:t>
      </w:r>
    </w:p>
    <w:p>
      <w:r>
        <w:t>Più recente è la ricerca sociologica di Carlo Genova e Cecilia Brazioli, che offre un quadro organico delle motivazioni, dei luoghi e delle pratiche dei writer in Italia. Per Roma è inoltre utile il volume A Question of Style: Graffiti Writing Between Theory and Practice in Rome, dedicato specificamente al contesto romano.</w:t>
      </w:r>
    </w:p>
    <w:p>
      <w:pPr>
        <w:pStyle w:val="Heading1"/>
      </w:pPr>
      <w:r>
        <w:t>Una possibile conclusione per Visioneroma</w:t>
      </w:r>
    </w:p>
    <w:p>
      <w:r>
        <w:t>Per Visioneroma il punto non è sostenere che tutta la street art produca vandalismo. La distinzione corretta è più precisa: esiste una componente della cultura del writing per la quale l’occupazione non autorizzata dello spazio, la trasgressione e talvolta la bruttezza deliberata costituiscono parte del valore dell’atto.</w:t>
      </w:r>
    </w:p>
    <w:p>
      <w:r>
        <w:t>Da qui deriva una linea culturale equilibrata: difendere la street art quando è arte, creare spazi e opportunità per writer e giovani artisti, ma nello stesso tempo affermare con chiarezza che il bene comune, il patrimonio storico e la proprietà altrui non possono essere considerati superfici liberamente appropriabili.</w:t>
      </w:r>
    </w:p>
    <w:p>
      <w:pPr>
        <w:pStyle w:val="Heading1"/>
      </w:pPr>
      <w:r>
        <w:t>Riferimenti essenziali</w:t>
      </w:r>
    </w:p>
    <w:p>
      <w:pPr>
        <w:pStyle w:val="ListBullet"/>
      </w:pPr>
      <w:r>
        <w:t>Jean Baudrillard, Kool Killer ou l’insurrection par les signes.</w:t>
      </w:r>
    </w:p>
    <w:p>
      <w:pPr>
        <w:pStyle w:val="ListBullet"/>
      </w:pPr>
      <w:r>
        <w:t>Jeff Ferrell, Crimes of Style. Urban Graffiti and the Politics of Criminality.</w:t>
      </w:r>
    </w:p>
    <w:p>
      <w:pPr>
        <w:pStyle w:val="ListBullet"/>
      </w:pPr>
      <w:r>
        <w:t>Mark Halsey – Alison Young, Our desires are ungovernable: Writing graffiti in urban space.</w:t>
      </w:r>
    </w:p>
    <w:p>
      <w:pPr>
        <w:pStyle w:val="ListBullet"/>
      </w:pPr>
      <w:r>
        <w:t>Theo Kindynis, Bomb Alert: Graffiti Writing and Urban Space in London.</w:t>
      </w:r>
    </w:p>
    <w:p>
      <w:pPr>
        <w:pStyle w:val="ListBullet"/>
      </w:pPr>
      <w:r>
        <w:t>Andrea Baldini, studi sul graffiti writing come creative activism.</w:t>
      </w:r>
    </w:p>
    <w:p>
      <w:pPr>
        <w:pStyle w:val="ListBullet"/>
      </w:pPr>
      <w:r>
        <w:t>Vanni Santoni, Dilaga ovunque.</w:t>
      </w:r>
    </w:p>
    <w:p>
      <w:pPr>
        <w:pStyle w:val="ListBullet"/>
      </w:pPr>
      <w:r>
        <w:t>Alessandro Mininno, Graffiti Writing in Italy 1989-2021.</w:t>
      </w:r>
    </w:p>
    <w:p>
      <w:pPr>
        <w:pStyle w:val="ListBullet"/>
      </w:pPr>
      <w:r>
        <w:t>Carlo Genova – Cecilia Brazioli, Graffiti. Una ricerca sul contesto italiano.</w:t>
      </w:r>
    </w:p>
    <w:p>
      <w:pPr>
        <w:pStyle w:val="ListBullet"/>
      </w:pPr>
      <w:r>
        <w:t>Ilaria Hoppe – Egidio Emiliano Bianco (a cura di), A Question of Style: Graffiti Writing Between Theory and Practice in Rome.</w:t>
      </w:r>
    </w:p>
    <w:sectPr w:rsidR="00FC693F" w:rsidRPr="0006063C" w:rsidSect="00034616">
      <w:footerReference w:type="default" r:id="rId10"/>
      <w:pgSz w:w="12240" w:h="15840"/>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7"/>
      </w:rPr>
      <w:t>Visioneroma – Tavola rotonda “Roma non è una lavagna”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7D141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75E"/>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