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5"/>
        <w:jc w:val="center"/>
      </w:pPr>
      <w:r>
        <w:drawing>
          <wp:inline xmlns:a="http://schemas.openxmlformats.org/drawingml/2006/main" xmlns:pic="http://schemas.openxmlformats.org/drawingml/2006/picture">
            <wp:extent cx="1152000" cy="1151015"/>
            <wp:docPr id="1" name="Picture 1"/>
            <wp:cNvGraphicFramePr>
              <a:graphicFrameLocks noChangeAspect="1"/>
            </wp:cNvGraphicFramePr>
            <a:graphic>
              <a:graphicData uri="http://schemas.openxmlformats.org/drawingml/2006/picture">
                <pic:pic>
                  <pic:nvPicPr>
                    <pic:cNvPr id="0" name="f82473ed-85d5-4131-8b7a-ab52a1a2efcb(4).jpeg"/>
                    <pic:cNvPicPr/>
                  </pic:nvPicPr>
                  <pic:blipFill>
                    <a:blip r:embed="rId9"/>
                    <a:stretch>
                      <a:fillRect/>
                    </a:stretch>
                  </pic:blipFill>
                  <pic:spPr>
                    <a:xfrm>
                      <a:off x="0" y="0"/>
                      <a:ext cx="1152000" cy="1151015"/>
                    </a:xfrm>
                    <a:prstGeom prst="rect"/>
                  </pic:spPr>
                </pic:pic>
              </a:graphicData>
            </a:graphic>
          </wp:inline>
        </w:drawing>
      </w:r>
    </w:p>
    <w:p>
      <w:pPr>
        <w:pStyle w:val="Title"/>
        <w:jc w:val="center"/>
      </w:pPr>
      <w:r>
        <w:rPr>
          <w:b/>
        </w:rPr>
        <w:t>L’ETÀ DEI WRITER</w:t>
        <w:br/>
      </w:r>
      <w:r>
        <w:rPr>
          <w:color w:val="A61C2D"/>
          <w:sz w:val="32"/>
        </w:rPr>
        <w:t>Dati disponibili e focus su Roma</w:t>
      </w:r>
    </w:p>
    <w:p>
      <w:pPr>
        <w:jc w:val="center"/>
      </w:pPr>
      <w:r>
        <w:rPr>
          <w:i/>
          <w:sz w:val="22"/>
        </w:rPr>
        <w:t>Approfondimento per la campagna civica “Roma non è una lavagna”</w:t>
      </w:r>
    </w:p>
    <w:p/>
    <w:p>
      <w:pPr>
        <w:pStyle w:val="Heading1"/>
      </w:pPr>
      <w:r>
        <w:t>1. Perché l’età è un dato importante</w:t>
      </w:r>
    </w:p>
    <w:p>
      <w:r>
        <w:t>Il fenomeno del writing illegale viene spesso rappresentato come una manifestazione esclusivamente adolescenziale. I dati disponibili suggeriscono invece un quadro più articolato: l’ingresso nel fenomeno può avvenire molto presto, ma una parte consistente dei soggetti osservati appartiene alla fascia dei giovani adulti e l’attività può proseguire anche oltre i trent’anni. Questo elemento è importante per le politiche pubbliche, perché richiede strumenti diversi: prevenzione ed educazione per i giovanissimi, responsabilizzazione e applicazione effettiva delle regole per gli adulti.</w:t>
      </w:r>
    </w:p>
    <w:p>
      <w:pPr>
        <w:pStyle w:val="Heading1"/>
      </w:pPr>
      <w:r>
        <w:t>2. I dati italiani più significativi</w:t>
      </w:r>
    </w:p>
    <w:p>
      <w:r>
        <w:rPr>
          <w:b/>
        </w:rPr>
        <w:t xml:space="preserve">Lo studio più dettagliato sulla distribuzione per età </w:t>
      </w:r>
      <w:r>
        <w:t>reperito riguarda un campione milanese di writer sottoposti a indagine. Una pubblicazione divulgativa collegata al lavoro del Nucleo antigraffiti della Polizia Locale di Milano riporta, su un campione di 200 soggetti, la seguente distribuzione:</w:t>
      </w:r>
    </w:p>
    <w:tbl>
      <w:tblPr>
        <w:tblStyle w:val="TableGrid"/>
        <w:tblW w:type="auto" w:w="0"/>
        <w:jc w:val="center"/>
        <w:tblLook w:firstColumn="1" w:firstRow="1" w:lastColumn="0" w:lastRow="0" w:noHBand="0" w:noVBand="1" w:val="04A0"/>
      </w:tblPr>
      <w:tblGrid>
        <w:gridCol w:w="4873"/>
        <w:gridCol w:w="4873"/>
      </w:tblGrid>
      <w:tr>
        <w:tc>
          <w:tcPr>
            <w:tcW w:type="dxa" w:w="4873"/>
            <w:vAlign w:val="center"/>
          </w:tcPr>
          <w:p>
            <w:pPr>
              <w:spacing w:after="0"/>
            </w:pPr>
            <w:r>
              <w:t>Fascia d’età</w:t>
            </w:r>
          </w:p>
        </w:tc>
        <w:tc>
          <w:tcPr>
            <w:tcW w:type="dxa" w:w="4873"/>
            <w:vAlign w:val="center"/>
          </w:tcPr>
          <w:p>
            <w:pPr>
              <w:spacing w:after="0"/>
            </w:pPr>
            <w:r>
              <w:t>Quota del campione</w:t>
            </w:r>
          </w:p>
        </w:tc>
      </w:tr>
      <w:tr>
        <w:tc>
          <w:tcPr>
            <w:tcW w:type="dxa" w:w="4873"/>
            <w:vAlign w:val="center"/>
          </w:tcPr>
          <w:p>
            <w:pPr>
              <w:spacing w:after="0"/>
            </w:pPr>
            <w:r>
              <w:t>12–18 anni</w:t>
            </w:r>
          </w:p>
        </w:tc>
        <w:tc>
          <w:tcPr>
            <w:tcW w:type="dxa" w:w="4873"/>
            <w:vAlign w:val="center"/>
          </w:tcPr>
          <w:p>
            <w:pPr>
              <w:spacing w:after="0"/>
            </w:pPr>
            <w:r>
              <w:t>12%</w:t>
            </w:r>
          </w:p>
        </w:tc>
      </w:tr>
      <w:tr>
        <w:tc>
          <w:tcPr>
            <w:tcW w:type="dxa" w:w="4873"/>
            <w:vAlign w:val="center"/>
          </w:tcPr>
          <w:p>
            <w:pPr>
              <w:spacing w:after="0"/>
            </w:pPr>
            <w:r>
              <w:t>19–25 anni</w:t>
            </w:r>
          </w:p>
        </w:tc>
        <w:tc>
          <w:tcPr>
            <w:tcW w:type="dxa" w:w="4873"/>
            <w:vAlign w:val="center"/>
          </w:tcPr>
          <w:p>
            <w:pPr>
              <w:spacing w:after="0"/>
            </w:pPr>
            <w:r>
              <w:t>47%</w:t>
            </w:r>
          </w:p>
        </w:tc>
      </w:tr>
      <w:tr>
        <w:tc>
          <w:tcPr>
            <w:tcW w:type="dxa" w:w="4873"/>
            <w:vAlign w:val="center"/>
          </w:tcPr>
          <w:p>
            <w:pPr>
              <w:spacing w:after="0"/>
            </w:pPr>
            <w:r>
              <w:t>26–32 anni</w:t>
            </w:r>
          </w:p>
        </w:tc>
        <w:tc>
          <w:tcPr>
            <w:tcW w:type="dxa" w:w="4873"/>
            <w:vAlign w:val="center"/>
          </w:tcPr>
          <w:p>
            <w:pPr>
              <w:spacing w:after="0"/>
            </w:pPr>
            <w:r>
              <w:t>25%</w:t>
            </w:r>
          </w:p>
        </w:tc>
      </w:tr>
      <w:tr>
        <w:tc>
          <w:tcPr>
            <w:tcW w:type="dxa" w:w="4873"/>
            <w:vAlign w:val="center"/>
          </w:tcPr>
          <w:p>
            <w:pPr>
              <w:spacing w:after="0"/>
            </w:pPr>
            <w:r>
              <w:t>33–39 anni</w:t>
            </w:r>
          </w:p>
        </w:tc>
        <w:tc>
          <w:tcPr>
            <w:tcW w:type="dxa" w:w="4873"/>
            <w:vAlign w:val="center"/>
          </w:tcPr>
          <w:p>
            <w:pPr>
              <w:spacing w:after="0"/>
            </w:pPr>
            <w:r>
              <w:t>11%</w:t>
            </w:r>
          </w:p>
        </w:tc>
      </w:tr>
      <w:tr>
        <w:tc>
          <w:tcPr>
            <w:tcW w:type="dxa" w:w="4873"/>
            <w:vAlign w:val="center"/>
          </w:tcPr>
          <w:p>
            <w:pPr>
              <w:spacing w:after="0"/>
            </w:pPr>
            <w:r>
              <w:t>40 anni e oltre</w:t>
            </w:r>
          </w:p>
        </w:tc>
        <w:tc>
          <w:tcPr>
            <w:tcW w:type="dxa" w:w="4873"/>
            <w:vAlign w:val="center"/>
          </w:tcPr>
          <w:p>
            <w:pPr>
              <w:spacing w:after="0"/>
            </w:pPr>
            <w:r>
              <w:t>5%</w:t>
            </w:r>
          </w:p>
        </w:tc>
      </w:tr>
    </w:tbl>
    <w:p>
      <w:r>
        <w:rPr>
          <w:b/>
        </w:rPr>
        <w:t xml:space="preserve">Il dato centrale è netto: </w:t>
      </w:r>
      <w:r>
        <w:t>il 72% del campione aveva tra 19 e 32 anni. I minorenni rappresentavano il 12%, mentre il 16% aveva 33 anni o più. Questo non consente di descrivere tutti i writer italiani, perché il campione riguarda persone fermate o indagate a Milano, ma mostra con chiarezza che il writing vandalico non può essere liquidato come una semplice “ragazzata”.</w:t>
      </w:r>
    </w:p>
    <w:p>
      <w:r>
        <w:rPr>
          <w:b/>
        </w:rPr>
        <w:t xml:space="preserve">Un secondo studio scientifico italiano </w:t>
      </w:r>
      <w:r>
        <w:t>pubblicato su Psychological Reports da Roberto Pani e Samanta Sagliaschi (Università di Bologna) ha esaminato 162 adolescenti italiani coinvolti nel graffitismo vandalico: 154 maschi e 8 femmine, con età media di 17,5 anni (deviazione standard 2,3). Il campione era specificamente composto da adolescenti che dichiaravano di sentirsi fortemente attratti dalla pratica, quindi non va utilizzato per stimare l’età media di tutti i writer; è però significativo per comprendere quanto l’avvio possa essere precoce.</w:t>
      </w:r>
    </w:p>
    <w:p>
      <w:pPr>
        <w:pStyle w:val="Heading1"/>
      </w:pPr>
      <w:r>
        <w:t>3. Che cosa ci dicono questi numeri</w:t>
      </w:r>
    </w:p>
    <w:p>
      <w:pPr>
        <w:ind w:left="227"/>
      </w:pPr>
      <w:r>
        <w:rPr>
          <w:b/>
        </w:rPr>
        <w:t xml:space="preserve">• </w:t>
      </w:r>
      <w:r>
        <w:t>L’esordio può essere molto precoce: alcune fonti sul fenomeno milanese segnalano ingressi nelle crew già intorno ai 12 anni.</w:t>
      </w:r>
    </w:p>
    <w:p>
      <w:pPr>
        <w:ind w:left="227"/>
      </w:pPr>
      <w:r>
        <w:rPr>
          <w:b/>
        </w:rPr>
        <w:t xml:space="preserve">• </w:t>
      </w:r>
      <w:r>
        <w:t>La fascia più rappresentata nei dati disponibili non è quella dei minorenni, ma quella 19–25 anni.</w:t>
      </w:r>
    </w:p>
    <w:p>
      <w:pPr>
        <w:ind w:left="227"/>
      </w:pPr>
      <w:r>
        <w:rPr>
          <w:b/>
        </w:rPr>
        <w:t xml:space="preserve">• </w:t>
      </w:r>
      <w:r>
        <w:t>Una quota rilevante prosegue tra 26 e 32 anni e una parte continua oltre i 33 e i 40 anni.</w:t>
      </w:r>
    </w:p>
    <w:p>
      <w:pPr>
        <w:ind w:left="227"/>
      </w:pPr>
      <w:r>
        <w:rPr>
          <w:b/>
        </w:rPr>
        <w:t xml:space="preserve">• </w:t>
      </w:r>
      <w:r>
        <w:t>Occorre quindi distinguere tra prevenzione educativa rivolta agli adolescenti e contrasto di comportamenti consapevoli e reiterati da parte di adulti.</w:t>
      </w:r>
    </w:p>
    <w:p>
      <w:pPr>
        <w:pStyle w:val="Heading1"/>
      </w:pPr>
      <w:r>
        <w:t>4. Focus Roma: che cosa sappiamo davvero</w:t>
      </w:r>
    </w:p>
    <w:p>
      <w:r>
        <w:rPr>
          <w:b/>
        </w:rPr>
        <w:t xml:space="preserve">Per Roma non risulta pubblicata, nelle fonti aperte consultate, una statistica organica per fasce d’età </w:t>
      </w:r>
      <w:r>
        <w:t>dei soggetti denunciati o sanzionati per writing e imbrattamento. È una lacuna informativa importante. Le fonti di cronaca e istituzionali consentono però di documentare alcuni casi concreti, che confermano la presenza sia di giovani adulti sia di adolescenti nel più ampio fenomeno del danneggiamento e dell’imbrattamento.</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vAlign w:val="center"/>
          </w:tcPr>
          <w:p>
            <w:pPr>
              <w:spacing w:after="0"/>
            </w:pPr>
            <w:r>
              <w:rPr>
                <w:b/>
              </w:rPr>
              <w:t>Caso</w:t>
            </w:r>
          </w:p>
        </w:tc>
        <w:tc>
          <w:tcPr>
            <w:tcW w:type="dxa" w:w="2436"/>
            <w:vAlign w:val="center"/>
          </w:tcPr>
          <w:p>
            <w:pPr>
              <w:spacing w:after="0"/>
            </w:pPr>
            <w:r>
              <w:rPr>
                <w:b/>
              </w:rPr>
              <w:t>Età</w:t>
            </w:r>
          </w:p>
        </w:tc>
        <w:tc>
          <w:tcPr>
            <w:tcW w:type="dxa" w:w="2436"/>
            <w:vAlign w:val="center"/>
          </w:tcPr>
          <w:p>
            <w:pPr>
              <w:spacing w:after="0"/>
            </w:pPr>
            <w:r>
              <w:rPr>
                <w:b/>
              </w:rPr>
              <w:t>Anno</w:t>
            </w:r>
          </w:p>
        </w:tc>
        <w:tc>
          <w:tcPr>
            <w:tcW w:type="dxa" w:w="2436"/>
            <w:vAlign w:val="center"/>
          </w:tcPr>
          <w:p>
            <w:pPr>
              <w:spacing w:after="0"/>
            </w:pPr>
            <w:r>
              <w:rPr>
                <w:b/>
              </w:rPr>
              <w:t>Nota</w:t>
            </w:r>
          </w:p>
        </w:tc>
      </w:tr>
      <w:tr>
        <w:tc>
          <w:tcPr>
            <w:tcW w:type="dxa" w:w="2436"/>
            <w:vAlign w:val="center"/>
          </w:tcPr>
          <w:p>
            <w:pPr>
              <w:spacing w:after="0"/>
            </w:pPr>
            <w:r>
              <w:t>Writer “Vero Replay”</w:t>
            </w:r>
          </w:p>
        </w:tc>
        <w:tc>
          <w:tcPr>
            <w:tcW w:type="dxa" w:w="2436"/>
            <w:vAlign w:val="center"/>
          </w:tcPr>
          <w:p>
            <w:pPr>
              <w:spacing w:after="0"/>
            </w:pPr>
            <w:r>
              <w:t>24</w:t>
            </w:r>
          </w:p>
        </w:tc>
        <w:tc>
          <w:tcPr>
            <w:tcW w:type="dxa" w:w="2436"/>
            <w:vAlign w:val="center"/>
          </w:tcPr>
          <w:p>
            <w:pPr>
              <w:spacing w:after="0"/>
            </w:pPr>
            <w:r>
              <w:t>2025</w:t>
            </w:r>
          </w:p>
        </w:tc>
        <w:tc>
          <w:tcPr>
            <w:tcW w:type="dxa" w:w="2436"/>
            <w:vAlign w:val="center"/>
          </w:tcPr>
          <w:p>
            <w:pPr>
              <w:spacing w:after="0"/>
            </w:pPr>
            <w:r>
              <w:t>Identificato dalla Polizia Locale dopo scritte e tag nel centro storico, compreso Ponte Sisto.</w:t>
            </w:r>
          </w:p>
        </w:tc>
      </w:tr>
      <w:tr>
        <w:tc>
          <w:tcPr>
            <w:tcW w:type="dxa" w:w="2436"/>
            <w:vAlign w:val="center"/>
          </w:tcPr>
          <w:p>
            <w:pPr>
              <w:spacing w:after="0"/>
            </w:pPr>
            <w:r>
              <w:t>Writer sorpreso a Torre Argentina</w:t>
            </w:r>
          </w:p>
        </w:tc>
        <w:tc>
          <w:tcPr>
            <w:tcW w:type="dxa" w:w="2436"/>
            <w:vAlign w:val="center"/>
          </w:tcPr>
          <w:p>
            <w:pPr>
              <w:spacing w:after="0"/>
            </w:pPr>
            <w:r>
              <w:t>26</w:t>
            </w:r>
          </w:p>
        </w:tc>
        <w:tc>
          <w:tcPr>
            <w:tcW w:type="dxa" w:w="2436"/>
            <w:vAlign w:val="center"/>
          </w:tcPr>
          <w:p>
            <w:pPr>
              <w:spacing w:after="0"/>
            </w:pPr>
            <w:r>
              <w:t>2020</w:t>
            </w:r>
          </w:p>
        </w:tc>
        <w:tc>
          <w:tcPr>
            <w:tcW w:type="dxa" w:w="2436"/>
            <w:vAlign w:val="center"/>
          </w:tcPr>
          <w:p>
            <w:pPr>
              <w:spacing w:after="0"/>
            </w:pPr>
            <w:r>
              <w:t>Denunciato per deturpamento e imbrattamento di cose altrui.</w:t>
            </w:r>
          </w:p>
        </w:tc>
      </w:tr>
      <w:tr>
        <w:tc>
          <w:tcPr>
            <w:tcW w:type="dxa" w:w="2436"/>
            <w:vAlign w:val="center"/>
          </w:tcPr>
          <w:p>
            <w:pPr>
              <w:spacing w:after="0"/>
            </w:pPr>
            <w:r>
              <w:t>Writer “Geco”</w:t>
            </w:r>
          </w:p>
        </w:tc>
        <w:tc>
          <w:tcPr>
            <w:tcW w:type="dxa" w:w="2436"/>
            <w:vAlign w:val="center"/>
          </w:tcPr>
          <w:p>
            <w:pPr>
              <w:spacing w:after="0"/>
            </w:pPr>
            <w:r>
              <w:t>circa 28–30</w:t>
            </w:r>
          </w:p>
        </w:tc>
        <w:tc>
          <w:tcPr>
            <w:tcW w:type="dxa" w:w="2436"/>
            <w:vAlign w:val="center"/>
          </w:tcPr>
          <w:p>
            <w:pPr>
              <w:spacing w:after="0"/>
            </w:pPr>
            <w:r>
              <w:t>2020</w:t>
            </w:r>
          </w:p>
        </w:tc>
        <w:tc>
          <w:tcPr>
            <w:tcW w:type="dxa" w:w="2436"/>
            <w:vAlign w:val="center"/>
          </w:tcPr>
          <w:p>
            <w:pPr>
              <w:spacing w:after="0"/>
            </w:pPr>
            <w:r>
              <w:t>Identificato dopo indagini del Nucleo Ambiente e Decoro; le cronache dell’epoca riportano età non perfettamente coincidenti.</w:t>
            </w:r>
          </w:p>
        </w:tc>
      </w:tr>
      <w:tr>
        <w:tc>
          <w:tcPr>
            <w:tcW w:type="dxa" w:w="2436"/>
            <w:vAlign w:val="center"/>
          </w:tcPr>
          <w:p>
            <w:pPr>
              <w:spacing w:after="0"/>
            </w:pPr>
            <w:r>
              <w:t>Turista al Colosseo*</w:t>
            </w:r>
          </w:p>
        </w:tc>
        <w:tc>
          <w:tcPr>
            <w:tcW w:type="dxa" w:w="2436"/>
            <w:vAlign w:val="center"/>
          </w:tcPr>
          <w:p>
            <w:pPr>
              <w:spacing w:after="0"/>
            </w:pPr>
            <w:r>
              <w:t>19</w:t>
            </w:r>
          </w:p>
        </w:tc>
        <w:tc>
          <w:tcPr>
            <w:tcW w:type="dxa" w:w="2436"/>
            <w:vAlign w:val="center"/>
          </w:tcPr>
          <w:p>
            <w:pPr>
              <w:spacing w:after="0"/>
            </w:pPr>
            <w:r>
              <w:t>2024</w:t>
            </w:r>
          </w:p>
        </w:tc>
        <w:tc>
          <w:tcPr>
            <w:tcW w:type="dxa" w:w="2436"/>
            <w:vAlign w:val="center"/>
          </w:tcPr>
          <w:p>
            <w:pPr>
              <w:spacing w:after="0"/>
            </w:pPr>
            <w:r>
              <w:t>Denunciato e sanzionato dopo aver inciso le proprie iniziali.</w:t>
            </w:r>
          </w:p>
        </w:tc>
      </w:tr>
      <w:tr>
        <w:tc>
          <w:tcPr>
            <w:tcW w:type="dxa" w:w="2436"/>
            <w:vAlign w:val="center"/>
          </w:tcPr>
          <w:p>
            <w:pPr>
              <w:spacing w:after="0"/>
            </w:pPr>
            <w:r>
              <w:t>Turista al Colosseo*</w:t>
            </w:r>
          </w:p>
        </w:tc>
        <w:tc>
          <w:tcPr>
            <w:tcW w:type="dxa" w:w="2436"/>
            <w:vAlign w:val="center"/>
          </w:tcPr>
          <w:p>
            <w:pPr>
              <w:spacing w:after="0"/>
            </w:pPr>
            <w:r>
              <w:t>17</w:t>
            </w:r>
          </w:p>
        </w:tc>
        <w:tc>
          <w:tcPr>
            <w:tcW w:type="dxa" w:w="2436"/>
            <w:vAlign w:val="center"/>
          </w:tcPr>
          <w:p>
            <w:pPr>
              <w:spacing w:after="0"/>
            </w:pPr>
            <w:r>
              <w:t>2023</w:t>
            </w:r>
          </w:p>
        </w:tc>
        <w:tc>
          <w:tcPr>
            <w:tcW w:type="dxa" w:w="2436"/>
            <w:vAlign w:val="center"/>
          </w:tcPr>
          <w:p>
            <w:pPr>
              <w:spacing w:after="0"/>
            </w:pPr>
            <w:r>
              <w:t>Denunciata dopo aver inciso la propria iniziale su un basamento.</w:t>
            </w:r>
          </w:p>
        </w:tc>
      </w:tr>
    </w:tbl>
    <w:p>
      <w:r>
        <w:rPr>
          <w:b/>
        </w:rPr>
        <w:t xml:space="preserve">* </w:t>
      </w:r>
      <w:r>
        <w:rPr>
          <w:i/>
        </w:rPr>
        <w:t>I casi del Colosseo sono riportati come esempi del più ampio fenomeno del deturpamento del patrimonio, non come prova che i soggetti fossero writer appartenenti alla cultura del writing.</w:t>
      </w:r>
    </w:p>
    <w:p>
      <w:r>
        <w:rPr>
          <w:b/>
        </w:rPr>
        <w:t xml:space="preserve">La conclusione corretta per Roma, quindi, non è costruire una percentuale da pochi casi di cronaca. </w:t>
      </w:r>
      <w:r>
        <w:t>È invece rilevare che anche nella Capitale gli episodi documentati coinvolgono età differenti e che manca, almeno nelle fonti pubbliche facilmente accessibili, un quadro statistico sistematico. Proprio questa assenza può diventare una proposta concreta di Visioneroma.</w:t>
      </w:r>
    </w:p>
    <w:p>
      <w:pPr>
        <w:pStyle w:val="Heading1"/>
      </w:pPr>
      <w:r>
        <w:t>5. Una proposta specifica per Roma Capitale</w:t>
      </w:r>
    </w:p>
    <w:p>
      <w:r>
        <w:t>Visioneroma propone che Roma Capitale, attraverso la Polizia Locale e gli uffici competenti, pubblichi annualmente dati aggregati sugli imbrattamenti accertati, distinguendo almeno: numero degli episodi; numero dei soggetti identificati; fascia d’età; minorenni e maggiorenni; recidiva; tipologia dei beni colpiti; Municipio; sanzioni e denunce; ordini di ripristino; costi recuperati dall’Amministrazione.</w:t>
      </w:r>
    </w:p>
    <w:p>
      <w:r>
        <w:rPr>
          <w:b/>
        </w:rPr>
        <w:t xml:space="preserve">Questo permetterebbe di passare dalla percezione ai dati </w:t>
      </w:r>
      <w:r>
        <w:t>e di calibrare meglio prevenzione, educazione civica, controlli e sanzioni. Sarebbe inoltre utile distinguere statisticamente il writing illegale seriale dagli episodi occasionali di deturpamento e dalle attività artistiche autorizzate.</w:t>
      </w:r>
    </w:p>
    <w:p>
      <w:pPr>
        <w:pStyle w:val="Heading1"/>
      </w:pPr>
      <w:r>
        <w:t>6. Il messaggio che emerge</w:t>
      </w:r>
    </w:p>
    <w:p>
      <w:pPr>
        <w:jc w:val="center"/>
      </w:pPr>
      <w:r>
        <w:rPr>
          <w:b/>
          <w:color w:val="17365D"/>
          <w:sz w:val="24"/>
        </w:rPr>
        <w:t>Il writing illegale può iniziare nell’adolescenza, ma non è soltanto un fenomeno adolescenziale. I dati disponibili mostrano una forte presenza di giovani adulti e una prosecuzione del fenomeno anche nelle fasce d’età successive. Per questo Roma deve agire su due piani: educare prima che il comportamento si consolidi e responsabilizzare pienamente chi, da adulto, sceglie di danneggiare la città.</w:t>
      </w:r>
    </w:p>
    <w:p>
      <w:pPr>
        <w:pStyle w:val="Heading1"/>
      </w:pPr>
      <w:r>
        <w:t>Fonti essenziali</w:t>
      </w:r>
    </w:p>
    <w:p>
      <w:pPr>
        <w:ind w:left="227" w:hanging="227"/>
      </w:pPr>
      <w:r>
        <w:rPr>
          <w:b/>
        </w:rPr>
        <w:t xml:space="preserve">• </w:t>
      </w:r>
      <w:r>
        <w:t>Pani R., Sagliaschi S., “Psychopathology of Excitatory and Compulsive Aspects of Vandalistic Graffiti”, Psychological Reports, 2009, 105(3 Pt 2), pp. 1027–1038. Campione: 162 adolescenti italiani; età media 17,5 anni.</w:t>
      </w:r>
    </w:p>
    <w:p>
      <w:pPr>
        <w:ind w:left="227" w:hanging="227"/>
      </w:pPr>
      <w:r>
        <w:rPr>
          <w:b/>
        </w:rPr>
        <w:t xml:space="preserve">• </w:t>
      </w:r>
      <w:r>
        <w:t>Materiali sul profilo dei writer basati sui dati del Nucleo antigraffiti della Polizia Locale di Milano: campione di 200 soggetti, con distribuzione 12–18 anni 12%; 19–25 anni 47%; 26–32 anni 25%; 33–39 anni 11%; 40+ 5%.</w:t>
      </w:r>
    </w:p>
    <w:p>
      <w:pPr>
        <w:ind w:left="227" w:hanging="227"/>
      </w:pPr>
      <w:r>
        <w:rPr>
          <w:b/>
        </w:rPr>
        <w:t xml:space="preserve">• </w:t>
      </w:r>
      <w:r>
        <w:t>La Repubblica Roma, 23 giugno 2025: identificazione del writer “Vero Replay”, 24 anni, per scritte e tag nel centro storico e a Ponte Sisto.</w:t>
      </w:r>
    </w:p>
    <w:p>
      <w:pPr>
        <w:ind w:left="227" w:hanging="227"/>
      </w:pPr>
      <w:r>
        <w:rPr>
          <w:b/>
        </w:rPr>
        <w:t xml:space="preserve">• </w:t>
      </w:r>
      <w:r>
        <w:t>Sky TG24, 3 dicembre 2020: writer di 26 anni denunciato dopo essere stato sorpreso a realizzare graffiti e tag in via di Torre Argentina.</w:t>
      </w:r>
    </w:p>
    <w:p>
      <w:pPr>
        <w:ind w:left="227" w:hanging="227"/>
      </w:pPr>
      <w:r>
        <w:rPr>
          <w:b/>
        </w:rPr>
        <w:t xml:space="preserve">• </w:t>
      </w:r>
      <w:r>
        <w:t>RaiNews / Corriere Roma / la Repubblica, novembre 2020: identificazione del writer “Geco” da parte del Nucleo Ambiente e Decoro della Polizia Locale di Roma Capitale.</w:t>
      </w:r>
    </w:p>
    <w:p>
      <w:pPr>
        <w:ind w:left="227" w:hanging="227"/>
      </w:pPr>
      <w:r>
        <w:rPr>
          <w:b/>
        </w:rPr>
        <w:t xml:space="preserve">• </w:t>
      </w:r>
      <w:r>
        <w:t>ANSA, 16 agosto 2024 e 15 luglio 2023: episodi di incisione/deturtamento al Colosseo da parte, rispettivamente, di un 19enne e di una 17enne.</w:t>
      </w:r>
    </w:p>
    <w:p>
      <w:pPr>
        <w:ind w:left="227" w:hanging="227"/>
      </w:pPr>
      <w:r>
        <w:rPr>
          <w:b/>
        </w:rPr>
        <w:t xml:space="preserve">• </w:t>
      </w:r>
      <w:r>
        <w:t>Nicola Guerra, “Muri puliti popoli muti: Analisi tematica e dinamiche linguistiche del fenomeno del graffitismo a Roma”, Forum Italicum, 2013: censimento e analisi di 247 graffiti osservati a Roma tra gennaio 2011 e giugno 2012; lo studio non fornisce una distribuzione anagrafica degli autori.</w:t>
      </w:r>
    </w:p>
    <w:p/>
    <w:p>
      <w:pPr>
        <w:jc w:val="center"/>
      </w:pPr>
      <w:r>
        <w:rPr>
          <w:b/>
          <w:color w:val="A61C2D"/>
        </w:rPr>
        <w:t>Visioneroma – Campagna civica “Roma non è una lavagna”</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A61C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